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3A080-D3FF-449F-8BBE-4FE423D94117}"/>
</file>

<file path=customXml/itemProps2.xml><?xml version="1.0" encoding="utf-8"?>
<ds:datastoreItem xmlns:ds="http://schemas.openxmlformats.org/officeDocument/2006/customXml" ds:itemID="{38B86525-2EE8-41C1-91D2-C21A4DA0BE42}"/>
</file>

<file path=customXml/itemProps3.xml><?xml version="1.0" encoding="utf-8"?>
<ds:datastoreItem xmlns:ds="http://schemas.openxmlformats.org/officeDocument/2006/customXml" ds:itemID="{4BB1BB01-9DCE-4EE2-909B-8D110D73B783}"/>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