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A0109-62F7-4A95-9549-0BC144C1C29B}"/>
</file>

<file path=customXml/itemProps2.xml><?xml version="1.0" encoding="utf-8"?>
<ds:datastoreItem xmlns:ds="http://schemas.openxmlformats.org/officeDocument/2006/customXml" ds:itemID="{7E650A16-9A8D-4E3C-B8CB-8741F7C0F22B}"/>
</file>

<file path=customXml/itemProps3.xml><?xml version="1.0" encoding="utf-8"?>
<ds:datastoreItem xmlns:ds="http://schemas.openxmlformats.org/officeDocument/2006/customXml" ds:itemID="{98846BE4-5B99-4FB9-B0DF-C65E85549ACF}"/>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