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8B" w:rsidRPr="00B53AF1" w:rsidRDefault="001D1C8B" w:rsidP="001D1C8B">
      <w:pPr>
        <w:ind w:firstLine="567"/>
        <w:jc w:val="right"/>
        <w:rPr>
          <w:rFonts w:ascii="Times New Roman" w:hAnsi="Times New Roman"/>
          <w:strike/>
          <w:spacing w:val="-4"/>
          <w:sz w:val="26"/>
          <w:highlight w:val="white"/>
        </w:rPr>
      </w:pPr>
      <w:r w:rsidRPr="00B53AF1">
        <w:rPr>
          <w:rFonts w:ascii="Times New Roman" w:hAnsi="Times New Roman"/>
          <w:szCs w:val="26"/>
          <w:highlight w:val="white"/>
          <w:lang w:val="nl-NL"/>
        </w:rPr>
        <w:t>Mẫu số 09</w:t>
      </w:r>
      <w:r w:rsidRPr="00B53AF1">
        <w:rPr>
          <w:rStyle w:val="FootnoteReference"/>
          <w:rFonts w:ascii="Times New Roman" w:hAnsi="Times New Roman"/>
          <w:szCs w:val="26"/>
          <w:highlight w:val="white"/>
          <w:lang w:val="nl-NL"/>
        </w:rPr>
        <w:footnoteReference w:id="1"/>
      </w:r>
    </w:p>
    <w:p w:rsidR="001D1C8B" w:rsidRPr="00B53AF1" w:rsidRDefault="001D1C8B" w:rsidP="001D1C8B">
      <w:pPr>
        <w:ind w:left="-720" w:firstLine="720"/>
        <w:jc w:val="right"/>
        <w:rPr>
          <w:rFonts w:ascii="Times New Roman" w:hAnsi="Times New Roman"/>
          <w:highlight w:val="white"/>
        </w:rPr>
      </w:pPr>
    </w:p>
    <w:tbl>
      <w:tblPr>
        <w:tblW w:w="9180" w:type="dxa"/>
        <w:jc w:val="center"/>
        <w:tblLook w:val="0000" w:firstRow="0" w:lastRow="0" w:firstColumn="0" w:lastColumn="0" w:noHBand="0" w:noVBand="0"/>
      </w:tblPr>
      <w:tblGrid>
        <w:gridCol w:w="3399"/>
        <w:gridCol w:w="5781"/>
      </w:tblGrid>
      <w:tr w:rsidR="001D1C8B" w:rsidRPr="00B53AF1" w:rsidTr="00F86BCA">
        <w:trPr>
          <w:jc w:val="center"/>
        </w:trPr>
        <w:tc>
          <w:tcPr>
            <w:tcW w:w="3399" w:type="dxa"/>
          </w:tcPr>
          <w:p w:rsidR="001D1C8B" w:rsidRPr="00B53AF1" w:rsidRDefault="001D1C8B" w:rsidP="00F86BCA">
            <w:pPr>
              <w:tabs>
                <w:tab w:val="left" w:pos="3261"/>
              </w:tabs>
              <w:rPr>
                <w:rFonts w:ascii="Times New Roman" w:hAnsi="Times New Roman"/>
                <w:b/>
                <w:spacing w:val="-6"/>
                <w:highlight w:val="white"/>
              </w:rPr>
            </w:pPr>
            <w:r w:rsidRPr="00B53AF1">
              <w:rPr>
                <w:rFonts w:ascii="Times New Roman" w:hAnsi="Times New Roman"/>
                <w:b/>
                <w:spacing w:val="-6"/>
                <w:highlight w:val="white"/>
              </w:rPr>
              <w:t>Tên cơ sở nhập khẩu thuốc</w:t>
            </w:r>
          </w:p>
          <w:p w:rsidR="001D1C8B" w:rsidRPr="00B53AF1" w:rsidRDefault="001D1C8B" w:rsidP="00F86BCA">
            <w:pPr>
              <w:tabs>
                <w:tab w:val="left" w:pos="3261"/>
              </w:tabs>
              <w:jc w:val="center"/>
              <w:rPr>
                <w:rFonts w:ascii="Times New Roman" w:hAnsi="Times New Roman"/>
                <w:highlight w:val="white"/>
              </w:rPr>
            </w:pPr>
          </w:p>
        </w:tc>
        <w:tc>
          <w:tcPr>
            <w:tcW w:w="5781" w:type="dxa"/>
          </w:tcPr>
          <w:p w:rsidR="001D1C8B" w:rsidRPr="00B53AF1" w:rsidRDefault="001D1C8B" w:rsidP="00F86BCA">
            <w:pPr>
              <w:pStyle w:val="Heading2"/>
              <w:spacing w:before="0" w:after="0"/>
              <w:rPr>
                <w:rFonts w:ascii="Times New Roman" w:hAnsi="Times New Roman"/>
                <w:i w:val="0"/>
                <w:sz w:val="26"/>
                <w:szCs w:val="26"/>
                <w:highlight w:val="white"/>
                <w:lang w:eastAsia="en-US"/>
              </w:rPr>
            </w:pPr>
            <w:r w:rsidRPr="00B53AF1">
              <w:rPr>
                <w:rFonts w:ascii="Times New Roman" w:hAnsi="Times New Roman"/>
                <w:i w:val="0"/>
                <w:szCs w:val="26"/>
                <w:highlight w:val="white"/>
                <w:lang w:eastAsia="en-US"/>
              </w:rPr>
              <w:t xml:space="preserve">  </w:t>
            </w:r>
            <w:r w:rsidRPr="00B53AF1">
              <w:rPr>
                <w:rFonts w:ascii="Times New Roman" w:hAnsi="Times New Roman"/>
                <w:i w:val="0"/>
                <w:sz w:val="26"/>
                <w:szCs w:val="26"/>
                <w:highlight w:val="white"/>
                <w:lang w:eastAsia="en-US"/>
              </w:rPr>
              <w:t>CỘNG HÒA XÃ HỘI CHỦ NGHĨA VIỆT NAM</w:t>
            </w:r>
          </w:p>
          <w:p w:rsidR="001D1C8B" w:rsidRPr="00B53AF1" w:rsidRDefault="001D1C8B" w:rsidP="00F86BCA">
            <w:pPr>
              <w:jc w:val="center"/>
              <w:rPr>
                <w:rFonts w:ascii="Times New Roman" w:hAnsi="Times New Roman"/>
                <w:b/>
                <w:sz w:val="26"/>
                <w:szCs w:val="26"/>
                <w:highlight w:val="white"/>
              </w:rPr>
            </w:pPr>
            <w:r w:rsidRPr="00B53AF1">
              <w:rPr>
                <w:rFonts w:ascii="Times New Roman" w:hAnsi="Times New Roman"/>
                <w:b/>
                <w:sz w:val="26"/>
                <w:szCs w:val="26"/>
                <w:highlight w:val="white"/>
              </w:rPr>
              <w:t>Độc lập - Tự do - Hạnh phúc</w:t>
            </w:r>
          </w:p>
          <w:p w:rsidR="001D1C8B" w:rsidRPr="00B53AF1" w:rsidRDefault="001D1C8B" w:rsidP="00F86BCA">
            <w:pPr>
              <w:jc w:val="center"/>
              <w:rPr>
                <w:rFonts w:ascii="Times New Roman" w:hAnsi="Times New Roman"/>
                <w:sz w:val="26"/>
                <w:szCs w:val="26"/>
                <w:highlight w:val="white"/>
                <w:vertAlign w:val="superscript"/>
                <w:lang w:val="nl-NL"/>
              </w:rPr>
            </w:pPr>
            <w:r w:rsidRPr="00B53AF1">
              <w:rPr>
                <w:rFonts w:ascii="Times New Roman" w:hAnsi="Times New Roman"/>
                <w:sz w:val="26"/>
                <w:szCs w:val="26"/>
                <w:highlight w:val="white"/>
                <w:vertAlign w:val="superscript"/>
                <w:lang w:val="nl-NL"/>
              </w:rPr>
              <w:t>___________________________________________</w:t>
            </w:r>
          </w:p>
          <w:p w:rsidR="001D1C8B" w:rsidRPr="00B53AF1" w:rsidRDefault="001D1C8B" w:rsidP="00F86BCA">
            <w:pPr>
              <w:tabs>
                <w:tab w:val="left" w:pos="1251"/>
                <w:tab w:val="center" w:pos="2904"/>
              </w:tabs>
              <w:jc w:val="center"/>
              <w:rPr>
                <w:rFonts w:ascii="Times New Roman" w:hAnsi="Times New Roman"/>
                <w:b/>
                <w:i/>
                <w:sz w:val="26"/>
                <w:szCs w:val="26"/>
                <w:highlight w:val="white"/>
                <w:lang w:val="nl-NL"/>
              </w:rPr>
            </w:pPr>
            <w:r w:rsidRPr="00B53AF1">
              <w:rPr>
                <w:rFonts w:ascii="Times New Roman" w:hAnsi="Times New Roman"/>
                <w:i/>
                <w:szCs w:val="26"/>
                <w:highlight w:val="white"/>
                <w:lang w:val="nl-NL"/>
              </w:rPr>
              <w:t>.........., ngày        tháng     năm 20...</w:t>
            </w:r>
          </w:p>
        </w:tc>
      </w:tr>
    </w:tbl>
    <w:p w:rsidR="001D1C8B" w:rsidRPr="00B53AF1" w:rsidRDefault="001D1C8B" w:rsidP="001D1C8B">
      <w:pPr>
        <w:jc w:val="center"/>
        <w:rPr>
          <w:rFonts w:ascii="Times New Roman" w:hAnsi="Times New Roman"/>
          <w:b/>
          <w:highlight w:val="white"/>
          <w:lang w:val="nl-NL"/>
        </w:rPr>
      </w:pPr>
    </w:p>
    <w:p w:rsidR="001D1C8B" w:rsidRPr="00B53AF1" w:rsidRDefault="001D1C8B" w:rsidP="001D1C8B">
      <w:pPr>
        <w:jc w:val="center"/>
        <w:rPr>
          <w:rFonts w:ascii="Times New Roman" w:hAnsi="Times New Roman"/>
          <w:b/>
          <w:highlight w:val="white"/>
          <w:lang w:val="nl-NL"/>
        </w:rPr>
      </w:pPr>
      <w:r w:rsidRPr="00B53AF1">
        <w:rPr>
          <w:rFonts w:ascii="Times New Roman" w:hAnsi="Times New Roman"/>
          <w:b/>
          <w:highlight w:val="white"/>
          <w:lang w:val="nl-NL"/>
        </w:rPr>
        <w:t>BẢNG THUYẾT MINH VỀ CƠ CẤU GIÁ</w:t>
      </w:r>
    </w:p>
    <w:p w:rsidR="001D1C8B" w:rsidRPr="00B53AF1" w:rsidRDefault="001D1C8B" w:rsidP="001D1C8B">
      <w:pPr>
        <w:jc w:val="center"/>
        <w:rPr>
          <w:rFonts w:ascii="Times New Roman" w:hAnsi="Times New Roman"/>
          <w:highlight w:val="white"/>
          <w:lang w:val="nl-NL"/>
        </w:rPr>
      </w:pPr>
      <w:r w:rsidRPr="00B53AF1">
        <w:rPr>
          <w:rFonts w:ascii="Times New Roman" w:hAnsi="Times New Roman"/>
          <w:highlight w:val="white"/>
          <w:lang w:val="nl-NL"/>
        </w:rPr>
        <w:t>(Đối với thuốc nhập khẩu)</w:t>
      </w:r>
    </w:p>
    <w:p w:rsidR="001D1C8B" w:rsidRPr="00B53AF1" w:rsidRDefault="001D1C8B" w:rsidP="001D1C8B">
      <w:pPr>
        <w:jc w:val="center"/>
        <w:rPr>
          <w:rFonts w:ascii="Times New Roman" w:hAnsi="Times New Roman"/>
          <w:highlight w:val="white"/>
          <w:vertAlign w:val="superscript"/>
          <w:lang w:val="nl-NL"/>
        </w:rPr>
      </w:pPr>
      <w:r w:rsidRPr="00B53AF1">
        <w:rPr>
          <w:rFonts w:ascii="Times New Roman" w:hAnsi="Times New Roman"/>
          <w:highlight w:val="white"/>
          <w:vertAlign w:val="superscript"/>
          <w:lang w:val="nl-NL"/>
        </w:rPr>
        <w:t>_________</w:t>
      </w:r>
    </w:p>
    <w:p w:rsidR="001D1C8B" w:rsidRPr="00B53AF1" w:rsidRDefault="001D1C8B" w:rsidP="001D1C8B">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Tên thuốc, Số Giấy đăng ký lưu hành/Giấy phép nhập khẩu:</w:t>
      </w:r>
      <w:r w:rsidRPr="00B53AF1">
        <w:rPr>
          <w:rFonts w:ascii="Times New Roman" w:hAnsi="Times New Roman"/>
          <w:highlight w:val="white"/>
          <w:lang w:val="nl-NL"/>
        </w:rPr>
        <w:tab/>
        <w:t xml:space="preserve"> </w:t>
      </w:r>
    </w:p>
    <w:p w:rsidR="001D1C8B" w:rsidRPr="00B53AF1" w:rsidRDefault="001D1C8B" w:rsidP="001D1C8B">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Hoạt chất, nồng độ hoặc hàm lượng:</w:t>
      </w:r>
      <w:r w:rsidRPr="00B53AF1">
        <w:rPr>
          <w:rFonts w:ascii="Times New Roman" w:hAnsi="Times New Roman"/>
          <w:highlight w:val="white"/>
          <w:lang w:val="nl-NL"/>
        </w:rPr>
        <w:tab/>
      </w:r>
    </w:p>
    <w:p w:rsidR="001D1C8B" w:rsidRPr="00B53AF1" w:rsidRDefault="001D1C8B" w:rsidP="001D1C8B">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Dạng bào chế, quy cách đóng gói:</w:t>
      </w:r>
      <w:r w:rsidRPr="00B53AF1">
        <w:rPr>
          <w:rFonts w:ascii="Times New Roman" w:hAnsi="Times New Roman"/>
          <w:highlight w:val="white"/>
          <w:lang w:val="nl-NL"/>
        </w:rPr>
        <w:tab/>
      </w:r>
    </w:p>
    <w:p w:rsidR="001D1C8B" w:rsidRPr="00B53AF1" w:rsidRDefault="001D1C8B" w:rsidP="001D1C8B">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 xml:space="preserve">Tên cơ sở sản xuất, nước sản xuất: </w:t>
      </w:r>
      <w:r w:rsidRPr="00B53AF1">
        <w:rPr>
          <w:rFonts w:ascii="Times New Roman" w:hAnsi="Times New Roman"/>
          <w:highlight w:val="white"/>
          <w:lang w:val="nl-NL"/>
        </w:rPr>
        <w:tab/>
      </w:r>
    </w:p>
    <w:p w:rsidR="001D1C8B" w:rsidRPr="00B53AF1" w:rsidRDefault="001D1C8B" w:rsidP="001D1C8B">
      <w:pPr>
        <w:ind w:firstLine="567"/>
        <w:rPr>
          <w:rFonts w:ascii="Times New Roman" w:hAnsi="Times New Roman"/>
          <w:b/>
          <w:sz w:val="26"/>
          <w:szCs w:val="24"/>
          <w:highlight w:val="white"/>
          <w:lang w:val="nl-NL"/>
        </w:rPr>
      </w:pPr>
      <w:r w:rsidRPr="00B53AF1">
        <w:rPr>
          <w:rFonts w:ascii="Times New Roman" w:hAnsi="Times New Roman"/>
          <w:b/>
          <w:sz w:val="26"/>
          <w:szCs w:val="24"/>
          <w:highlight w:val="white"/>
          <w:lang w:val="nl-NL"/>
        </w:rPr>
        <w:t>I. BẢNG TỔNG HỢP TÍNH GIÁ VỐN, GIÁ BÁN THUỐC NHẬP KHẨU CHO MỘT ĐƠN VỊ ĐÓNG GÓI NHỎ NHẤT</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2"/>
        <w:gridCol w:w="5650"/>
        <w:gridCol w:w="1003"/>
        <w:gridCol w:w="1003"/>
        <w:gridCol w:w="1003"/>
      </w:tblGrid>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STT</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Khoản mục chi phí</w:t>
            </w:r>
          </w:p>
        </w:tc>
        <w:tc>
          <w:tcPr>
            <w:tcW w:w="530" w:type="pct"/>
            <w:vAlign w:val="cente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Đơn vị tính</w:t>
            </w:r>
          </w:p>
        </w:tc>
        <w:tc>
          <w:tcPr>
            <w:tcW w:w="530" w:type="pct"/>
            <w:vAlign w:val="cente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Thành tiền (VNĐ)</w:t>
            </w:r>
          </w:p>
        </w:tc>
        <w:tc>
          <w:tcPr>
            <w:tcW w:w="530" w:type="pct"/>
            <w:vAlign w:val="cente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Ghi chú</w:t>
            </w:r>
          </w:p>
        </w:tc>
      </w:tr>
      <w:tr w:rsidR="001D1C8B" w:rsidRPr="00B53AF1" w:rsidTr="00F86BCA">
        <w:trPr>
          <w:cantSplit/>
        </w:trPr>
        <w:tc>
          <w:tcPr>
            <w:tcW w:w="424" w:type="pct"/>
            <w:tcMar>
              <w:top w:w="0" w:type="dxa"/>
              <w:left w:w="108" w:type="dxa"/>
              <w:bottom w:w="0" w:type="dxa"/>
              <w:right w:w="108" w:type="dxa"/>
            </w:tcMa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A</w:t>
            </w:r>
          </w:p>
        </w:tc>
        <w:tc>
          <w:tcPr>
            <w:tcW w:w="2986" w:type="pct"/>
            <w:tcMar>
              <w:top w:w="0" w:type="dxa"/>
              <w:left w:w="108" w:type="dxa"/>
              <w:bottom w:w="0" w:type="dxa"/>
              <w:right w:w="108" w:type="dxa"/>
            </w:tcMar>
            <w:hideMark/>
          </w:tcPr>
          <w:p w:rsidR="001D1C8B" w:rsidRPr="00B53AF1" w:rsidRDefault="001D1C8B" w:rsidP="00F86BCA">
            <w:pPr>
              <w:pStyle w:val="NormalWeb"/>
              <w:spacing w:before="0" w:beforeAutospacing="0" w:after="0" w:afterAutospacing="0"/>
              <w:rPr>
                <w:sz w:val="28"/>
                <w:szCs w:val="28"/>
                <w:highlight w:val="white"/>
              </w:rPr>
            </w:pPr>
            <w:r w:rsidRPr="00B53AF1">
              <w:rPr>
                <w:b/>
                <w:bCs/>
                <w:sz w:val="28"/>
                <w:szCs w:val="28"/>
                <w:highlight w:val="white"/>
                <w:lang w:val="nl-NL"/>
              </w:rPr>
              <w:t>Sản lượng nhập khẩu</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B</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b/>
                <w:bCs/>
                <w:sz w:val="28"/>
                <w:szCs w:val="28"/>
                <w:highlight w:val="white"/>
                <w:lang w:val="nl-NL"/>
              </w:rPr>
              <w:t>Giá vốn nhập khẩu</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1</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rPr>
              <w:t>Giá mua tại cửa khẩu Việt Nam (giá CIF)</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2</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lang w:val="nl-NL"/>
              </w:rPr>
              <w:t>Thuế nhập khẩu</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3</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rPr>
              <w:t>Thuế tiêu thụ đặc biệt (nếu có)</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4</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rPr>
              <w:t>Các khoản thuế, phí khác (nếu có)</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5</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rPr>
              <w:t>Các khoản chi bằng tiền khác theo quy định (nếu có)</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C</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b/>
                <w:bCs/>
                <w:sz w:val="28"/>
                <w:szCs w:val="28"/>
                <w:highlight w:val="white"/>
                <w:lang w:val="nl-NL"/>
              </w:rPr>
              <w:t>Chi phí chung</w:t>
            </w:r>
          </w:p>
        </w:tc>
        <w:tc>
          <w:tcPr>
            <w:tcW w:w="530" w:type="pct"/>
          </w:tcPr>
          <w:p w:rsidR="001D1C8B" w:rsidRPr="00B53AF1" w:rsidRDefault="001D1C8B" w:rsidP="00F86BCA">
            <w:pPr>
              <w:pStyle w:val="NormalWeb"/>
              <w:spacing w:before="0" w:beforeAutospacing="0" w:after="0" w:afterAutospacing="0"/>
              <w:jc w:val="center"/>
              <w:rPr>
                <w:b/>
                <w:bCs/>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b/>
                <w:bCs/>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b/>
                <w:bCs/>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6</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rPr>
              <w:t>Chi phí tài chính (nếu có)</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7</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lang w:val="nl-NL"/>
              </w:rPr>
              <w:t>Chi phí bán hàng</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sz w:val="28"/>
                <w:szCs w:val="28"/>
                <w:highlight w:val="white"/>
                <w:lang w:val="nl-NL"/>
              </w:rPr>
              <w:t>8</w:t>
            </w:r>
          </w:p>
        </w:tc>
        <w:tc>
          <w:tcPr>
            <w:tcW w:w="2986"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rPr>
                <w:sz w:val="28"/>
                <w:szCs w:val="28"/>
                <w:highlight w:val="white"/>
              </w:rPr>
            </w:pPr>
            <w:r w:rsidRPr="00B53AF1">
              <w:rPr>
                <w:sz w:val="28"/>
                <w:szCs w:val="28"/>
                <w:highlight w:val="white"/>
                <w:lang w:val="nl-NL"/>
              </w:rPr>
              <w:t>Chi phí quản lý</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vAlign w:val="cente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D</w:t>
            </w:r>
          </w:p>
        </w:tc>
        <w:tc>
          <w:tcPr>
            <w:tcW w:w="2986" w:type="pct"/>
            <w:tcMar>
              <w:top w:w="0" w:type="dxa"/>
              <w:left w:w="108" w:type="dxa"/>
              <w:bottom w:w="0" w:type="dxa"/>
              <w:right w:w="108" w:type="dxa"/>
            </w:tcMar>
            <w:hideMark/>
          </w:tcPr>
          <w:p w:rsidR="001D1C8B" w:rsidRPr="00B53AF1" w:rsidRDefault="001D1C8B" w:rsidP="00F86BCA">
            <w:pPr>
              <w:pStyle w:val="NormalWeb"/>
              <w:spacing w:before="0" w:beforeAutospacing="0" w:after="0" w:afterAutospacing="0"/>
              <w:rPr>
                <w:sz w:val="28"/>
                <w:szCs w:val="28"/>
                <w:highlight w:val="white"/>
              </w:rPr>
            </w:pPr>
            <w:r w:rsidRPr="00B53AF1">
              <w:rPr>
                <w:b/>
                <w:bCs/>
                <w:sz w:val="28"/>
                <w:szCs w:val="28"/>
                <w:highlight w:val="white"/>
                <w:lang w:val="nl-NL"/>
              </w:rPr>
              <w:t>Tổng chi phí</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hideMark/>
          </w:tcPr>
          <w:p w:rsidR="001D1C8B" w:rsidRPr="00B53AF1" w:rsidRDefault="001D1C8B" w:rsidP="00F86BCA">
            <w:pPr>
              <w:pStyle w:val="NormalWeb"/>
              <w:spacing w:before="0" w:beforeAutospacing="0" w:after="0" w:afterAutospacing="0"/>
              <w:jc w:val="center"/>
              <w:rPr>
                <w:sz w:val="28"/>
                <w:szCs w:val="28"/>
                <w:highlight w:val="white"/>
              </w:rPr>
            </w:pPr>
            <w:r w:rsidRPr="00B53AF1">
              <w:rPr>
                <w:b/>
                <w:bCs/>
                <w:sz w:val="28"/>
                <w:szCs w:val="28"/>
                <w:highlight w:val="white"/>
                <w:lang w:val="nl-NL"/>
              </w:rPr>
              <w:t>Đ</w:t>
            </w:r>
          </w:p>
        </w:tc>
        <w:tc>
          <w:tcPr>
            <w:tcW w:w="2986" w:type="pct"/>
            <w:tcMar>
              <w:top w:w="0" w:type="dxa"/>
              <w:left w:w="108" w:type="dxa"/>
              <w:bottom w:w="0" w:type="dxa"/>
              <w:right w:w="108" w:type="dxa"/>
            </w:tcMar>
            <w:hideMark/>
          </w:tcPr>
          <w:p w:rsidR="001D1C8B" w:rsidRPr="00B53AF1" w:rsidRDefault="001D1C8B" w:rsidP="00F86BCA">
            <w:pPr>
              <w:pStyle w:val="NormalWeb"/>
              <w:spacing w:before="0" w:beforeAutospacing="0" w:after="0" w:afterAutospacing="0"/>
              <w:rPr>
                <w:sz w:val="28"/>
                <w:szCs w:val="28"/>
                <w:highlight w:val="white"/>
              </w:rPr>
            </w:pPr>
            <w:r w:rsidRPr="00B53AF1">
              <w:rPr>
                <w:b/>
                <w:bCs/>
                <w:sz w:val="28"/>
                <w:szCs w:val="28"/>
                <w:highlight w:val="white"/>
              </w:rPr>
              <w:t>Giá thành toàn bộ 01 (một) đơn vị đóng gói nhỏ nhất</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r>
      <w:tr w:rsidR="001D1C8B" w:rsidRPr="00B53AF1" w:rsidTr="00F86BCA">
        <w:trPr>
          <w:cantSplit/>
        </w:trPr>
        <w:tc>
          <w:tcPr>
            <w:tcW w:w="424" w:type="pct"/>
            <w:tcMar>
              <w:top w:w="0" w:type="dxa"/>
              <w:left w:w="108" w:type="dxa"/>
              <w:bottom w:w="0" w:type="dxa"/>
              <w:right w:w="108" w:type="dxa"/>
            </w:tcMa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E</w:t>
            </w:r>
          </w:p>
        </w:tc>
        <w:tc>
          <w:tcPr>
            <w:tcW w:w="2986" w:type="pct"/>
            <w:tcMar>
              <w:top w:w="0" w:type="dxa"/>
              <w:left w:w="108" w:type="dxa"/>
              <w:bottom w:w="0" w:type="dxa"/>
              <w:right w:w="108" w:type="dxa"/>
            </w:tcMar>
          </w:tcPr>
          <w:p w:rsidR="001D1C8B" w:rsidRPr="00B53AF1" w:rsidRDefault="001D1C8B" w:rsidP="00F86BCA">
            <w:pPr>
              <w:pStyle w:val="NormalWeb"/>
              <w:spacing w:before="0" w:beforeAutospacing="0" w:after="0" w:afterAutospacing="0"/>
              <w:rPr>
                <w:b/>
                <w:bCs/>
                <w:sz w:val="28"/>
                <w:szCs w:val="28"/>
                <w:highlight w:val="white"/>
                <w:lang w:val="nl-NL"/>
              </w:rPr>
            </w:pPr>
            <w:r w:rsidRPr="00B53AF1">
              <w:rPr>
                <w:b/>
                <w:bCs/>
                <w:sz w:val="28"/>
                <w:szCs w:val="28"/>
                <w:highlight w:val="white"/>
                <w:lang w:val="nl-NL"/>
              </w:rPr>
              <w:t>Lợi nhuận dự kiến</w:t>
            </w:r>
          </w:p>
        </w:tc>
        <w:tc>
          <w:tcPr>
            <w:tcW w:w="530" w:type="pct"/>
          </w:tcPr>
          <w:p w:rsidR="001D1C8B" w:rsidRPr="00B53AF1" w:rsidRDefault="001D1C8B" w:rsidP="00F86BCA">
            <w:pPr>
              <w:pStyle w:val="NormalWeb"/>
              <w:spacing w:before="0" w:beforeAutospacing="0" w:after="0" w:afterAutospacing="0"/>
              <w:jc w:val="center"/>
              <w:rPr>
                <w:sz w:val="28"/>
                <w:szCs w:val="28"/>
                <w:highlight w:val="white"/>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G</w:t>
            </w:r>
          </w:p>
        </w:tc>
        <w:tc>
          <w:tcPr>
            <w:tcW w:w="2986" w:type="pct"/>
            <w:tcMar>
              <w:top w:w="0" w:type="dxa"/>
              <w:left w:w="108" w:type="dxa"/>
              <w:bottom w:w="0" w:type="dxa"/>
              <w:right w:w="108" w:type="dxa"/>
            </w:tcMar>
          </w:tcPr>
          <w:p w:rsidR="001D1C8B" w:rsidRPr="00B53AF1" w:rsidRDefault="001D1C8B" w:rsidP="00F86BCA">
            <w:pPr>
              <w:pStyle w:val="NormalWeb"/>
              <w:spacing w:before="0" w:beforeAutospacing="0" w:after="0" w:afterAutospacing="0"/>
              <w:rPr>
                <w:b/>
                <w:bCs/>
                <w:spacing w:val="-12"/>
                <w:sz w:val="28"/>
                <w:szCs w:val="28"/>
                <w:highlight w:val="white"/>
                <w:lang w:val="nl-NL"/>
              </w:rPr>
            </w:pPr>
            <w:r w:rsidRPr="00B53AF1">
              <w:rPr>
                <w:b/>
                <w:bCs/>
                <w:spacing w:val="-12"/>
                <w:sz w:val="28"/>
                <w:szCs w:val="28"/>
                <w:highlight w:val="white"/>
                <w:lang w:val="nl-NL"/>
              </w:rPr>
              <w:t>Thuế giá trị gia tăng, thuế khác (nếu có) theo quy định</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r w:rsidR="001D1C8B" w:rsidRPr="00B53AF1" w:rsidTr="00F86BCA">
        <w:trPr>
          <w:cantSplit/>
        </w:trPr>
        <w:tc>
          <w:tcPr>
            <w:tcW w:w="424" w:type="pct"/>
            <w:tcMar>
              <w:top w:w="0" w:type="dxa"/>
              <w:left w:w="108" w:type="dxa"/>
              <w:bottom w:w="0" w:type="dxa"/>
              <w:right w:w="108" w:type="dxa"/>
            </w:tcMar>
          </w:tcPr>
          <w:p w:rsidR="001D1C8B" w:rsidRPr="00B53AF1" w:rsidRDefault="001D1C8B" w:rsidP="00F86BC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H</w:t>
            </w:r>
          </w:p>
        </w:tc>
        <w:tc>
          <w:tcPr>
            <w:tcW w:w="2986" w:type="pct"/>
            <w:tcMar>
              <w:top w:w="0" w:type="dxa"/>
              <w:left w:w="108" w:type="dxa"/>
              <w:bottom w:w="0" w:type="dxa"/>
              <w:right w:w="108" w:type="dxa"/>
            </w:tcMar>
          </w:tcPr>
          <w:p w:rsidR="001D1C8B" w:rsidRPr="00B53AF1" w:rsidRDefault="001D1C8B" w:rsidP="00F86BCA">
            <w:pPr>
              <w:pStyle w:val="NormalWeb"/>
              <w:spacing w:before="0" w:beforeAutospacing="0" w:after="0" w:afterAutospacing="0"/>
              <w:rPr>
                <w:b/>
                <w:bCs/>
                <w:sz w:val="28"/>
                <w:szCs w:val="28"/>
                <w:highlight w:val="white"/>
                <w:lang w:val="nl-NL"/>
              </w:rPr>
            </w:pPr>
            <w:r w:rsidRPr="00B53AF1">
              <w:rPr>
                <w:b/>
                <w:sz w:val="28"/>
                <w:szCs w:val="28"/>
                <w:highlight w:val="white"/>
                <w:lang w:val="nl-NL"/>
              </w:rPr>
              <w:t>Giá bán dự kiến</w:t>
            </w: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c>
          <w:tcPr>
            <w:tcW w:w="530" w:type="pct"/>
          </w:tcPr>
          <w:p w:rsidR="001D1C8B" w:rsidRPr="00B53AF1" w:rsidRDefault="001D1C8B" w:rsidP="00F86BCA">
            <w:pPr>
              <w:pStyle w:val="NormalWeb"/>
              <w:spacing w:before="0" w:beforeAutospacing="0" w:after="0" w:afterAutospacing="0"/>
              <w:jc w:val="center"/>
              <w:rPr>
                <w:sz w:val="28"/>
                <w:szCs w:val="28"/>
                <w:highlight w:val="white"/>
                <w:lang w:val="nl-NL"/>
              </w:rPr>
            </w:pPr>
          </w:p>
        </w:tc>
      </w:tr>
    </w:tbl>
    <w:p w:rsidR="001D1C8B" w:rsidRPr="00B53AF1" w:rsidRDefault="001D1C8B" w:rsidP="001D1C8B">
      <w:pPr>
        <w:ind w:firstLine="567"/>
        <w:rPr>
          <w:rFonts w:ascii="Times New Roman" w:hAnsi="Times New Roman"/>
          <w:b/>
          <w:szCs w:val="26"/>
          <w:highlight w:val="white"/>
        </w:rPr>
      </w:pPr>
      <w:r w:rsidRPr="00B53AF1">
        <w:rPr>
          <w:rFonts w:ascii="Times New Roman" w:hAnsi="Times New Roman"/>
          <w:b/>
          <w:sz w:val="26"/>
          <w:szCs w:val="26"/>
          <w:highlight w:val="white"/>
        </w:rPr>
        <w:t xml:space="preserve">II. GIẢI TRÌNH CHI TIẾT CÁC KHOẢN MỤC CHI PHÍ CHO MỘT ĐƠN VỊ ĐÓNG GÓI NHỎ NHẤT </w:t>
      </w:r>
      <w:r w:rsidRPr="00B53AF1">
        <w:rPr>
          <w:rFonts w:ascii="Times New Roman" w:hAnsi="Times New Roman"/>
          <w:b/>
          <w:szCs w:val="26"/>
          <w:highlight w:val="white"/>
        </w:rPr>
        <w:t>(kèm theo các tài liệu liên quan để chứng minh)</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1. Giá mua tại cửa khẩu Việt Nam (giá CIF)</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lastRenderedPageBreak/>
        <w:t>2. Thuế nhập khẩu</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3. Thuế tiêu thụ đặc biệt (nếu có)</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4. Các khoản thuế, phí khác (nếu có)</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5. Các khoản chi bằng tiền khác theo quy định (nếu có)</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6. Chi phí tài chính (nếu có)</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7. Chi phí bán hàng</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8. Chi phí quản lý</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9. Giá thành toàn bộ 01 (một) đơn vị sản phẩm</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10. Lợi nhuận dự kiến</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11. Thuế giá trị gia tăng, thuế khác (nếu có) theo quy định</w:t>
      </w:r>
    </w:p>
    <w:p w:rsidR="001D1C8B" w:rsidRPr="00B53AF1" w:rsidRDefault="001D1C8B" w:rsidP="001D1C8B">
      <w:pPr>
        <w:ind w:firstLine="567"/>
        <w:rPr>
          <w:rFonts w:ascii="Times New Roman" w:hAnsi="Times New Roman"/>
          <w:highlight w:val="white"/>
        </w:rPr>
      </w:pPr>
      <w:r w:rsidRPr="00B53AF1">
        <w:rPr>
          <w:rFonts w:ascii="Times New Roman" w:hAnsi="Times New Roman"/>
          <w:highlight w:val="white"/>
        </w:rPr>
        <w:t>12. Giá bán dự kiến</w:t>
      </w:r>
    </w:p>
    <w:p w:rsidR="001D1C8B" w:rsidRPr="00B53AF1" w:rsidRDefault="001D1C8B" w:rsidP="001D1C8B">
      <w:pPr>
        <w:ind w:firstLine="567"/>
        <w:rPr>
          <w:rFonts w:ascii="Times New Roman" w:hAnsi="Times New Roman"/>
          <w:sz w:val="26"/>
          <w:szCs w:val="26"/>
          <w:highlight w:val="white"/>
        </w:rPr>
      </w:pPr>
      <w:r w:rsidRPr="00B53AF1">
        <w:rPr>
          <w:rFonts w:ascii="Times New Roman" w:hAnsi="Times New Roman"/>
          <w:highlight w:val="white"/>
        </w:rPr>
        <w:t>13. Điều kiện giao hàng/ bán hàng</w:t>
      </w:r>
      <w:r w:rsidRPr="00B53AF1">
        <w:rPr>
          <w:rFonts w:ascii="Times New Roman" w:hAnsi="Times New Roman"/>
          <w:sz w:val="26"/>
          <w:szCs w:val="26"/>
          <w:highlight w:val="white"/>
        </w:rPr>
        <w:tab/>
      </w:r>
    </w:p>
    <w:p w:rsidR="001D1C8B" w:rsidRPr="00B53AF1" w:rsidRDefault="001D1C8B" w:rsidP="001D1C8B">
      <w:pPr>
        <w:ind w:firstLine="567"/>
        <w:rPr>
          <w:rFonts w:ascii="Times New Roman" w:hAnsi="Times New Roman"/>
          <w:b/>
          <w:sz w:val="26"/>
          <w:szCs w:val="26"/>
          <w:highlight w:val="white"/>
        </w:rPr>
      </w:pPr>
      <w:r w:rsidRPr="00B53AF1">
        <w:rPr>
          <w:rFonts w:ascii="Times New Roman" w:hAnsi="Times New Roman"/>
          <w:b/>
          <w:sz w:val="26"/>
          <w:szCs w:val="26"/>
          <w:highlight w:val="white"/>
        </w:rPr>
        <w:t>III. BẢNG SO SÁNH MỨC GIÁ ĐỀ NGHỊ VỚI MỨC GIÁ THUỐC TƯƠNG TỰ Ở THỊ TRƯỜNG TRONG NƯỚC VÀ THỊ TRƯỜNG MỘT SỐ NƯỚC TRONG KHU VỰC</w:t>
      </w:r>
    </w:p>
    <w:p w:rsidR="001D1C8B" w:rsidRPr="00B53AF1" w:rsidRDefault="001D1C8B" w:rsidP="001D1C8B">
      <w:pPr>
        <w:ind w:left="5760"/>
        <w:jc w:val="center"/>
        <w:rPr>
          <w:rFonts w:ascii="Times New Roman" w:hAnsi="Times New Roman"/>
          <w:b/>
          <w:bCs/>
          <w:szCs w:val="26"/>
          <w:highlight w:val="white"/>
        </w:rPr>
      </w:pPr>
    </w:p>
    <w:p w:rsidR="001D1C8B" w:rsidRPr="00B53AF1" w:rsidRDefault="001D1C8B" w:rsidP="001D1C8B">
      <w:pPr>
        <w:ind w:left="5760"/>
        <w:jc w:val="center"/>
        <w:rPr>
          <w:rFonts w:ascii="Times New Roman" w:hAnsi="Times New Roman"/>
          <w:b/>
          <w:bCs/>
          <w:szCs w:val="26"/>
          <w:highlight w:val="white"/>
        </w:rPr>
      </w:pPr>
      <w:r w:rsidRPr="00B53AF1">
        <w:rPr>
          <w:rFonts w:ascii="Times New Roman" w:hAnsi="Times New Roman"/>
          <w:b/>
          <w:bCs/>
          <w:szCs w:val="26"/>
          <w:highlight w:val="white"/>
        </w:rPr>
        <w:t>Giám đốc cơ sở nhập khẩu</w:t>
      </w:r>
    </w:p>
    <w:p w:rsidR="001D1C8B" w:rsidRPr="00B53AF1" w:rsidRDefault="001D1C8B" w:rsidP="001D1C8B">
      <w:pPr>
        <w:ind w:left="5760"/>
        <w:jc w:val="center"/>
        <w:rPr>
          <w:rFonts w:ascii="Times New Roman" w:hAnsi="Times New Roman"/>
          <w:bCs/>
          <w:i/>
          <w:sz w:val="24"/>
          <w:szCs w:val="26"/>
          <w:highlight w:val="white"/>
        </w:rPr>
      </w:pPr>
      <w:r w:rsidRPr="00B53AF1">
        <w:rPr>
          <w:rFonts w:ascii="Times New Roman" w:hAnsi="Times New Roman"/>
          <w:bCs/>
          <w:i/>
          <w:sz w:val="24"/>
          <w:szCs w:val="26"/>
          <w:highlight w:val="white"/>
        </w:rPr>
        <w:t>(Ký, ghi rõ họ tên, đóng dấu)</w:t>
      </w:r>
    </w:p>
    <w:p w:rsidR="005C7B60" w:rsidRDefault="005C7B60" w:rsidP="001D1C8B">
      <w:bookmarkStart w:id="0" w:name="_GoBack"/>
      <w:bookmarkEnd w:id="0"/>
    </w:p>
    <w:sectPr w:rsidR="005C7B60"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96" w:rsidRDefault="00D02396" w:rsidP="001D1C8B">
      <w:r>
        <w:separator/>
      </w:r>
    </w:p>
  </w:endnote>
  <w:endnote w:type="continuationSeparator" w:id="0">
    <w:p w:rsidR="00D02396" w:rsidRDefault="00D02396" w:rsidP="001D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96" w:rsidRDefault="00D02396" w:rsidP="001D1C8B">
      <w:r>
        <w:separator/>
      </w:r>
    </w:p>
  </w:footnote>
  <w:footnote w:type="continuationSeparator" w:id="0">
    <w:p w:rsidR="00D02396" w:rsidRDefault="00D02396" w:rsidP="001D1C8B">
      <w:r>
        <w:continuationSeparator/>
      </w:r>
    </w:p>
  </w:footnote>
  <w:footnote w:id="1">
    <w:p w:rsidR="001D1C8B" w:rsidRPr="002337FD" w:rsidRDefault="001D1C8B" w:rsidP="001D1C8B">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10 Điều 1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8B"/>
    <w:rsid w:val="001335B0"/>
    <w:rsid w:val="001D1C8B"/>
    <w:rsid w:val="004520A9"/>
    <w:rsid w:val="005C7B60"/>
    <w:rsid w:val="00A30299"/>
    <w:rsid w:val="00D0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52E8"/>
  <w15:chartTrackingRefBased/>
  <w15:docId w15:val="{4022C818-FFC1-499C-807F-8D7F2A90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8B"/>
    <w:pPr>
      <w:spacing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1D1C8B"/>
    <w:pPr>
      <w:keepNext/>
      <w:spacing w:before="240" w:after="60" w:line="276" w:lineRule="auto"/>
      <w:outlineLvl w:val="1"/>
    </w:pPr>
    <w:rPr>
      <w:rFonts w:ascii="Cambria" w:hAnsi="Cambria"/>
      <w:b/>
      <w:bCs/>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C8B"/>
    <w:rPr>
      <w:rFonts w:ascii="Cambria" w:eastAsia="Times New Roman" w:hAnsi="Cambria" w:cs="Times New Roman"/>
      <w:b/>
      <w:bCs/>
      <w:i/>
      <w:iCs/>
      <w:sz w:val="28"/>
      <w:szCs w:val="28"/>
      <w:lang w:eastAsia="x-none"/>
    </w:rPr>
  </w:style>
  <w:style w:type="paragraph" w:styleId="FootnoteText">
    <w:name w:val="footnote text"/>
    <w:basedOn w:val="Normal"/>
    <w:link w:val="FootnoteTextChar"/>
    <w:unhideWhenUsed/>
    <w:rsid w:val="001D1C8B"/>
    <w:rPr>
      <w:sz w:val="20"/>
      <w:szCs w:val="20"/>
    </w:rPr>
  </w:style>
  <w:style w:type="character" w:customStyle="1" w:styleId="FootnoteTextChar">
    <w:name w:val="Footnote Text Char"/>
    <w:basedOn w:val="DefaultParagraphFont"/>
    <w:link w:val="FootnoteText"/>
    <w:rsid w:val="001D1C8B"/>
    <w:rPr>
      <w:rFonts w:ascii=".VnTime" w:eastAsia="Times New Roman" w:hAnsi=".VnTime" w:cs="Times New Roman"/>
      <w:sz w:val="20"/>
      <w:szCs w:val="20"/>
    </w:rPr>
  </w:style>
  <w:style w:type="character" w:styleId="FootnoteReference">
    <w:name w:val="footnote reference"/>
    <w:basedOn w:val="DefaultParagraphFont"/>
    <w:uiPriority w:val="99"/>
    <w:unhideWhenUsed/>
    <w:rsid w:val="001D1C8B"/>
    <w:rPr>
      <w:vertAlign w:val="superscript"/>
    </w:rPr>
  </w:style>
  <w:style w:type="paragraph" w:styleId="NormalWeb">
    <w:name w:val="Normal (Web)"/>
    <w:basedOn w:val="Normal"/>
    <w:uiPriority w:val="99"/>
    <w:unhideWhenUsed/>
    <w:rsid w:val="001D1C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2024-01-19T03:05:00Z</dcterms:created>
  <dcterms:modified xsi:type="dcterms:W3CDTF">2024-01-19T03:05:00Z</dcterms:modified>
</cp:coreProperties>
</file>