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530" w:rsidRPr="007F0B32" w:rsidRDefault="00E74530" w:rsidP="00E74530">
      <w:pPr>
        <w:spacing w:before="100" w:beforeAutospacing="1" w:after="100" w:afterAutospacing="1"/>
        <w:outlineLvl w:val="2"/>
        <w:rPr>
          <w:b/>
          <w:sz w:val="28"/>
          <w:szCs w:val="28"/>
          <w:lang w:val="vi-VN"/>
        </w:rPr>
      </w:pPr>
      <w:bookmarkStart w:id="0" w:name="_Toc333396924"/>
      <w:bookmarkStart w:id="1" w:name="_Toc340493125"/>
      <w:r w:rsidRPr="007F0B32">
        <w:rPr>
          <w:b/>
          <w:sz w:val="28"/>
          <w:szCs w:val="28"/>
          <w:lang w:val="vi-VN"/>
        </w:rPr>
        <w:t>Phụ lục 3. Mẫu Thông tin về Báo cáo đánh giá rủi ro của cây trồng biến đổi gen đối với môi trường và đa dạng sinh học</w:t>
      </w:r>
      <w:bookmarkEnd w:id="0"/>
      <w:bookmarkEnd w:id="1"/>
    </w:p>
    <w:p w:rsidR="00E74530" w:rsidRPr="007F0B32" w:rsidRDefault="00E74530" w:rsidP="00E74530">
      <w:pPr>
        <w:widowControl w:val="0"/>
        <w:jc w:val="center"/>
        <w:rPr>
          <w:rFonts w:eastAsia="Calibri"/>
          <w:i/>
          <w:iCs/>
          <w:spacing w:val="-4"/>
          <w:sz w:val="28"/>
          <w:szCs w:val="28"/>
          <w:lang w:val="vi-VN"/>
        </w:rPr>
      </w:pPr>
      <w:bookmarkStart w:id="2" w:name="_Toc333396926"/>
      <w:bookmarkStart w:id="3" w:name="_Toc340493127"/>
      <w:r w:rsidRPr="007F0B32">
        <w:rPr>
          <w:rFonts w:eastAsia="Calibri"/>
          <w:i/>
          <w:iCs/>
          <w:spacing w:val="-4"/>
          <w:sz w:val="28"/>
          <w:szCs w:val="28"/>
          <w:lang w:val="vi-VN"/>
        </w:rPr>
        <w:t>(Ban hành kèm theo Thông tư số 08/2013/TT-BTNMT ngày 1</w:t>
      </w:r>
      <w:r w:rsidRPr="0030626C">
        <w:rPr>
          <w:rFonts w:eastAsia="Calibri"/>
          <w:i/>
          <w:iCs/>
          <w:spacing w:val="-4"/>
          <w:sz w:val="28"/>
          <w:szCs w:val="28"/>
          <w:lang w:val="vi-VN"/>
        </w:rPr>
        <w:t>6</w:t>
      </w:r>
      <w:r w:rsidRPr="007F0B32">
        <w:rPr>
          <w:rFonts w:eastAsia="Calibri"/>
          <w:i/>
          <w:iCs/>
          <w:spacing w:val="-4"/>
          <w:sz w:val="28"/>
          <w:szCs w:val="28"/>
          <w:lang w:val="vi-VN"/>
        </w:rPr>
        <w:t xml:space="preserve"> tháng </w:t>
      </w:r>
      <w:r w:rsidRPr="00BF06DD">
        <w:rPr>
          <w:rFonts w:eastAsia="Calibri"/>
          <w:i/>
          <w:iCs/>
          <w:spacing w:val="-4"/>
          <w:sz w:val="28"/>
          <w:szCs w:val="28"/>
          <w:lang w:val="vi-VN"/>
        </w:rPr>
        <w:t>5</w:t>
      </w:r>
      <w:r w:rsidRPr="007F0B32">
        <w:rPr>
          <w:rFonts w:eastAsia="Calibri"/>
          <w:i/>
          <w:iCs/>
          <w:spacing w:val="-4"/>
          <w:sz w:val="28"/>
          <w:szCs w:val="28"/>
          <w:lang w:val="vi-VN"/>
        </w:rPr>
        <w:t xml:space="preserve"> năm 2013 </w:t>
      </w:r>
    </w:p>
    <w:p w:rsidR="00E74530" w:rsidRPr="007F0B32" w:rsidRDefault="00E74530" w:rsidP="00E74530">
      <w:pPr>
        <w:widowControl w:val="0"/>
        <w:autoSpaceDE w:val="0"/>
        <w:autoSpaceDN w:val="0"/>
        <w:ind w:right="2"/>
        <w:jc w:val="center"/>
        <w:outlineLvl w:val="0"/>
        <w:rPr>
          <w:bCs/>
          <w:i/>
          <w:iCs/>
          <w:sz w:val="28"/>
          <w:szCs w:val="28"/>
          <w:lang w:val="vi-VN"/>
        </w:rPr>
      </w:pPr>
      <w:r w:rsidRPr="007F0B32">
        <w:rPr>
          <w:bCs/>
          <w:i/>
          <w:iCs/>
          <w:sz w:val="28"/>
          <w:szCs w:val="28"/>
          <w:lang w:val="vi-VN"/>
        </w:rPr>
        <w:t>của Bộ trưởng Bộ Tài nguyên và Môi trường)</w:t>
      </w:r>
    </w:p>
    <w:p w:rsidR="00E74530" w:rsidRPr="007F0B32" w:rsidRDefault="00E74530" w:rsidP="00E74530">
      <w:pPr>
        <w:keepNext/>
        <w:widowControl w:val="0"/>
        <w:autoSpaceDE w:val="0"/>
        <w:autoSpaceDN w:val="0"/>
        <w:ind w:right="2"/>
        <w:jc w:val="center"/>
        <w:outlineLvl w:val="0"/>
        <w:rPr>
          <w:rFonts w:cs=".VnTimeH"/>
          <w:iCs/>
        </w:rPr>
      </w:pPr>
      <w:r w:rsidRPr="007F0B32">
        <w:rPr>
          <w:rFonts w:cs=".VnTimeH"/>
          <w:b/>
          <w:bCs/>
        </w:rPr>
        <w:t>___________________________________________________________________________</w:t>
      </w:r>
      <w:bookmarkEnd w:id="2"/>
      <w:bookmarkEnd w:id="3"/>
    </w:p>
    <w:p w:rsidR="00E74530" w:rsidRPr="007F0B32" w:rsidRDefault="00E74530" w:rsidP="00E74530">
      <w:pPr>
        <w:autoSpaceDE w:val="0"/>
        <w:autoSpaceDN w:val="0"/>
        <w:spacing w:before="120" w:after="120"/>
        <w:jc w:val="right"/>
        <w:rPr>
          <w:rFonts w:cs=".VnTimeH"/>
          <w:b/>
          <w:bCs/>
          <w:i/>
        </w:rPr>
      </w:pPr>
    </w:p>
    <w:tbl>
      <w:tblPr>
        <w:tblW w:w="9747" w:type="dxa"/>
        <w:jc w:val="center"/>
        <w:tblInd w:w="-459" w:type="dxa"/>
        <w:tblLayout w:type="fixed"/>
        <w:tblLook w:val="0000"/>
      </w:tblPr>
      <w:tblGrid>
        <w:gridCol w:w="4347"/>
        <w:gridCol w:w="5400"/>
      </w:tblGrid>
      <w:tr w:rsidR="00E74530" w:rsidRPr="007F0B32" w:rsidTr="00EA21D6">
        <w:trPr>
          <w:cantSplit/>
          <w:jc w:val="center"/>
        </w:trPr>
        <w:tc>
          <w:tcPr>
            <w:tcW w:w="4347" w:type="dxa"/>
            <w:vMerge w:val="restart"/>
            <w:tcBorders>
              <w:top w:val="nil"/>
              <w:left w:val="nil"/>
              <w:bottom w:val="nil"/>
              <w:right w:val="nil"/>
            </w:tcBorders>
          </w:tcPr>
          <w:p w:rsidR="00E74530" w:rsidRPr="007F0B32" w:rsidRDefault="00E74530" w:rsidP="00EA21D6">
            <w:pPr>
              <w:widowControl w:val="0"/>
              <w:autoSpaceDE w:val="0"/>
              <w:autoSpaceDN w:val="0"/>
              <w:ind w:right="-57"/>
              <w:jc w:val="center"/>
              <w:rPr>
                <w:b/>
                <w:sz w:val="26"/>
                <w:szCs w:val="26"/>
              </w:rPr>
            </w:pPr>
            <w:r w:rsidRPr="007F0B32">
              <w:rPr>
                <w:b/>
                <w:noProof/>
                <w:sz w:val="26"/>
                <w:szCs w:val="26"/>
              </w:rPr>
              <w:pict>
                <v:line id="_x0000_s1027" style="position:absolute;left:0;text-align:left;z-index:251661312" from="51.7pt,34.45pt" to="157pt,34.45pt"/>
              </w:pict>
            </w:r>
            <w:r w:rsidRPr="007F0B32">
              <w:rPr>
                <w:b/>
                <w:sz w:val="26"/>
                <w:szCs w:val="26"/>
              </w:rPr>
              <w:t xml:space="preserve">Tên tổ chức/cá nhân đăng ký cấp </w:t>
            </w:r>
          </w:p>
          <w:p w:rsidR="00E74530" w:rsidRPr="007F0B32" w:rsidRDefault="00E74530" w:rsidP="00EA21D6">
            <w:pPr>
              <w:widowControl w:val="0"/>
              <w:autoSpaceDE w:val="0"/>
              <w:autoSpaceDN w:val="0"/>
              <w:ind w:right="-57"/>
              <w:jc w:val="center"/>
              <w:rPr>
                <w:sz w:val="20"/>
                <w:szCs w:val="20"/>
              </w:rPr>
            </w:pPr>
            <w:r w:rsidRPr="007F0B32">
              <w:rPr>
                <w:b/>
                <w:sz w:val="26"/>
                <w:szCs w:val="26"/>
              </w:rPr>
              <w:t>Giấy chứng nhận an toàn sinh học</w:t>
            </w:r>
            <w:r w:rsidRPr="007F0B32">
              <w:rPr>
                <w:sz w:val="26"/>
                <w:szCs w:val="26"/>
              </w:rPr>
              <w:br/>
            </w:r>
          </w:p>
        </w:tc>
        <w:tc>
          <w:tcPr>
            <w:tcW w:w="5400" w:type="dxa"/>
            <w:tcBorders>
              <w:top w:val="nil"/>
              <w:left w:val="nil"/>
              <w:bottom w:val="nil"/>
              <w:right w:val="nil"/>
            </w:tcBorders>
          </w:tcPr>
          <w:p w:rsidR="00E74530" w:rsidRPr="007F0B32" w:rsidRDefault="00E74530" w:rsidP="00EA21D6">
            <w:pPr>
              <w:widowControl w:val="0"/>
              <w:autoSpaceDE w:val="0"/>
              <w:autoSpaceDN w:val="0"/>
              <w:jc w:val="center"/>
              <w:rPr>
                <w:rFonts w:ascii="Times New Roman Bold" w:hAnsi="Times New Roman Bold"/>
                <w:b/>
                <w:bCs/>
                <w:spacing w:val="-8"/>
                <w:sz w:val="26"/>
                <w:szCs w:val="26"/>
              </w:rPr>
            </w:pPr>
            <w:r w:rsidRPr="007F0B32">
              <w:rPr>
                <w:rFonts w:ascii="Times New Roman Bold" w:hAnsi="Times New Roman Bold"/>
                <w:b/>
                <w:bCs/>
                <w:spacing w:val="-8"/>
                <w:sz w:val="26"/>
                <w:szCs w:val="26"/>
              </w:rPr>
              <w:t>CỘNG HOÀ XÃ HỘI CHỦ NGHĨA VIỆT NAM</w:t>
            </w:r>
          </w:p>
          <w:p w:rsidR="00E74530" w:rsidRPr="007F0B32" w:rsidRDefault="00E74530" w:rsidP="00EA21D6">
            <w:pPr>
              <w:widowControl w:val="0"/>
              <w:autoSpaceDE w:val="0"/>
              <w:autoSpaceDN w:val="0"/>
              <w:jc w:val="center"/>
              <w:rPr>
                <w:b/>
                <w:bCs/>
                <w:sz w:val="26"/>
                <w:szCs w:val="26"/>
              </w:rPr>
            </w:pPr>
            <w:r w:rsidRPr="007F0B32">
              <w:rPr>
                <w:b/>
                <w:bCs/>
                <w:sz w:val="26"/>
                <w:szCs w:val="26"/>
              </w:rPr>
              <w:t>Độc lập - Tự do - Hạnh phúc</w:t>
            </w:r>
          </w:p>
          <w:p w:rsidR="00E74530" w:rsidRPr="007F0B32" w:rsidRDefault="00E74530" w:rsidP="00EA21D6">
            <w:pPr>
              <w:widowControl w:val="0"/>
              <w:autoSpaceDE w:val="0"/>
              <w:autoSpaceDN w:val="0"/>
              <w:jc w:val="center"/>
              <w:rPr>
                <w:sz w:val="20"/>
                <w:szCs w:val="20"/>
              </w:rPr>
            </w:pPr>
            <w:r w:rsidRPr="007F0B32">
              <w:rPr>
                <w:noProof/>
                <w:sz w:val="20"/>
                <w:szCs w:val="20"/>
              </w:rPr>
              <w:pict>
                <v:line id="_x0000_s1026" style="position:absolute;left:0;text-align:left;z-index:251660288" from="47.85pt,3.6pt" to="209.85pt,3.6pt"/>
              </w:pict>
            </w:r>
          </w:p>
        </w:tc>
      </w:tr>
      <w:tr w:rsidR="00E74530" w:rsidRPr="007F0B32" w:rsidTr="00EA21D6">
        <w:trPr>
          <w:cantSplit/>
          <w:trHeight w:val="180"/>
          <w:jc w:val="center"/>
        </w:trPr>
        <w:tc>
          <w:tcPr>
            <w:tcW w:w="4347" w:type="dxa"/>
            <w:vMerge/>
            <w:tcBorders>
              <w:top w:val="nil"/>
              <w:left w:val="nil"/>
              <w:bottom w:val="nil"/>
              <w:right w:val="nil"/>
            </w:tcBorders>
          </w:tcPr>
          <w:p w:rsidR="00E74530" w:rsidRPr="007F0B32" w:rsidRDefault="00E74530" w:rsidP="00EA21D6">
            <w:pPr>
              <w:widowControl w:val="0"/>
              <w:autoSpaceDE w:val="0"/>
              <w:autoSpaceDN w:val="0"/>
              <w:ind w:right="-57"/>
              <w:jc w:val="center"/>
              <w:rPr>
                <w:b/>
                <w:bCs/>
                <w:sz w:val="20"/>
                <w:szCs w:val="20"/>
              </w:rPr>
            </w:pPr>
          </w:p>
        </w:tc>
        <w:tc>
          <w:tcPr>
            <w:tcW w:w="5400" w:type="dxa"/>
            <w:tcBorders>
              <w:top w:val="nil"/>
              <w:left w:val="nil"/>
              <w:bottom w:val="nil"/>
              <w:right w:val="nil"/>
            </w:tcBorders>
          </w:tcPr>
          <w:p w:rsidR="00E74530" w:rsidRPr="007F0B32" w:rsidRDefault="00E74530" w:rsidP="00EA21D6">
            <w:pPr>
              <w:keepNext/>
              <w:widowControl w:val="0"/>
              <w:autoSpaceDE w:val="0"/>
              <w:autoSpaceDN w:val="0"/>
              <w:spacing w:before="120" w:after="120"/>
              <w:jc w:val="right"/>
              <w:outlineLvl w:val="1"/>
              <w:rPr>
                <w:i/>
                <w:iCs/>
              </w:rPr>
            </w:pPr>
            <w:bookmarkStart w:id="4" w:name="_Toc333396927"/>
            <w:bookmarkStart w:id="5" w:name="_Toc340493128"/>
            <w:r w:rsidRPr="007F0B32">
              <w:rPr>
                <w:i/>
                <w:iCs/>
                <w:sz w:val="26"/>
              </w:rPr>
              <w:t>Hà Nội, ngày      tháng      năm 20…</w:t>
            </w:r>
            <w:bookmarkEnd w:id="4"/>
            <w:bookmarkEnd w:id="5"/>
          </w:p>
        </w:tc>
      </w:tr>
    </w:tbl>
    <w:p w:rsidR="00E74530" w:rsidRPr="007F0B32" w:rsidRDefault="00E74530" w:rsidP="00E74530">
      <w:pPr>
        <w:widowControl w:val="0"/>
        <w:autoSpaceDE w:val="0"/>
        <w:autoSpaceDN w:val="0"/>
        <w:jc w:val="center"/>
        <w:rPr>
          <w:b/>
          <w:bCs/>
        </w:rPr>
      </w:pPr>
    </w:p>
    <w:p w:rsidR="00E74530" w:rsidRPr="007F0B32" w:rsidRDefault="00E74530" w:rsidP="00E74530">
      <w:pPr>
        <w:spacing w:before="120"/>
        <w:jc w:val="center"/>
        <w:rPr>
          <w:b/>
          <w:sz w:val="28"/>
          <w:szCs w:val="28"/>
        </w:rPr>
      </w:pPr>
      <w:r w:rsidRPr="007F0B32">
        <w:rPr>
          <w:b/>
          <w:sz w:val="28"/>
          <w:szCs w:val="28"/>
        </w:rPr>
        <w:t>THÔNG TIN VỀ BÁO CÁO ĐÁNH GIÁ RỦI RO CỦA CÂY TRỒNG BIẾN ĐỔI GEN ĐỐI VỚI MÔI TRƯỜNG VÀ ĐA DẠNG SINH HỌC</w:t>
      </w:r>
    </w:p>
    <w:p w:rsidR="00E74530" w:rsidRPr="007F0B32" w:rsidRDefault="00E74530" w:rsidP="00E74530">
      <w:pPr>
        <w:tabs>
          <w:tab w:val="left" w:pos="993"/>
        </w:tabs>
        <w:spacing w:before="120"/>
        <w:ind w:firstLine="709"/>
        <w:rPr>
          <w:b/>
          <w:bCs/>
          <w:sz w:val="28"/>
          <w:szCs w:val="28"/>
          <w:lang w:val="vi-VN"/>
        </w:rPr>
      </w:pPr>
      <w:r w:rsidRPr="007F0B32">
        <w:rPr>
          <w:b/>
          <w:bCs/>
          <w:sz w:val="28"/>
          <w:szCs w:val="28"/>
        </w:rPr>
        <w:t>I. Thông tin chung</w:t>
      </w:r>
    </w:p>
    <w:p w:rsidR="00E74530" w:rsidRPr="007F0B32" w:rsidRDefault="00E74530" w:rsidP="00E74530">
      <w:pPr>
        <w:spacing w:before="120"/>
        <w:ind w:firstLine="709"/>
        <w:jc w:val="both"/>
        <w:rPr>
          <w:bCs/>
          <w:sz w:val="28"/>
          <w:szCs w:val="28"/>
          <w:lang w:val="vi-VN"/>
        </w:rPr>
      </w:pPr>
      <w:r w:rsidRPr="007F0B32">
        <w:rPr>
          <w:bCs/>
          <w:sz w:val="28"/>
          <w:szCs w:val="28"/>
          <w:lang w:val="vi-VN"/>
        </w:rPr>
        <w:t>1. Tên, địa chỉ liên lạc, người đại diện và người đại diện liên lạc của tổ chức (cá nhân) đăng ký.</w:t>
      </w:r>
    </w:p>
    <w:p w:rsidR="00E74530" w:rsidRPr="00F63DEE" w:rsidRDefault="00E74530" w:rsidP="00E74530">
      <w:pPr>
        <w:spacing w:before="120"/>
        <w:ind w:firstLine="709"/>
        <w:jc w:val="both"/>
        <w:rPr>
          <w:bCs/>
          <w:sz w:val="28"/>
          <w:szCs w:val="28"/>
          <w:lang w:val="vi-VN"/>
        </w:rPr>
      </w:pPr>
      <w:r w:rsidRPr="007F0B32">
        <w:rPr>
          <w:bCs/>
          <w:sz w:val="28"/>
          <w:szCs w:val="28"/>
          <w:lang w:val="vi-VN"/>
        </w:rPr>
        <w:t>2. Tên cây trồng biến đổi gen: tên khoa học, tên thông thường, mã sự kiện chuyển gen và mã nhận dạng duy nhất, nếu có</w:t>
      </w:r>
      <w:r w:rsidRPr="00F63DEE">
        <w:rPr>
          <w:bCs/>
          <w:sz w:val="28"/>
          <w:szCs w:val="28"/>
          <w:lang w:val="vi-VN"/>
        </w:rPr>
        <w:t>.</w:t>
      </w:r>
    </w:p>
    <w:p w:rsidR="00E74530" w:rsidRPr="007F0B32" w:rsidRDefault="00E74530" w:rsidP="00E74530">
      <w:pPr>
        <w:tabs>
          <w:tab w:val="left" w:pos="1134"/>
        </w:tabs>
        <w:spacing w:before="120"/>
        <w:ind w:firstLine="709"/>
        <w:rPr>
          <w:b/>
          <w:bCs/>
          <w:sz w:val="28"/>
          <w:szCs w:val="28"/>
          <w:lang w:val="vi-VN"/>
        </w:rPr>
      </w:pPr>
      <w:r w:rsidRPr="007F0B32">
        <w:rPr>
          <w:b/>
          <w:bCs/>
          <w:sz w:val="28"/>
          <w:szCs w:val="28"/>
          <w:lang w:val="vi-VN"/>
        </w:rPr>
        <w:t>II. Thông tin về sinh vật nhận</w:t>
      </w:r>
    </w:p>
    <w:p w:rsidR="00E74530" w:rsidRPr="007F0B32" w:rsidRDefault="00E74530" w:rsidP="00E74530">
      <w:pPr>
        <w:spacing w:before="120"/>
        <w:ind w:firstLine="720"/>
        <w:jc w:val="both"/>
        <w:rPr>
          <w:sz w:val="28"/>
          <w:szCs w:val="28"/>
          <w:lang w:val="vi-VN"/>
        </w:rPr>
      </w:pPr>
      <w:r w:rsidRPr="007F0B32">
        <w:rPr>
          <w:sz w:val="28"/>
          <w:szCs w:val="28"/>
          <w:lang w:val="vi-VN"/>
        </w:rPr>
        <w:t>Mô tả tóm tắt về sinh vật nhận trong đó gồm tên, đặc điểm sinh học của sinh vật nhận, mối quan hệ với môi trường tự nhiên và đa dạng sinh học tại Việt Nam, lịch sử sử dụng sinh vật nhận.</w:t>
      </w:r>
    </w:p>
    <w:p w:rsidR="00E74530" w:rsidRPr="007F0B32" w:rsidRDefault="00E74530" w:rsidP="00E74530">
      <w:pPr>
        <w:spacing w:before="120"/>
        <w:ind w:firstLine="709"/>
        <w:jc w:val="both"/>
        <w:rPr>
          <w:b/>
          <w:bCs/>
          <w:sz w:val="28"/>
          <w:szCs w:val="28"/>
          <w:lang w:val="vi-VN"/>
        </w:rPr>
      </w:pPr>
      <w:r w:rsidRPr="007F0B32">
        <w:rPr>
          <w:b/>
          <w:bCs/>
          <w:sz w:val="28"/>
          <w:szCs w:val="28"/>
          <w:lang w:val="vi-VN"/>
        </w:rPr>
        <w:t>III. Thông tin về quá trình chuyển gen</w:t>
      </w:r>
    </w:p>
    <w:p w:rsidR="00E74530" w:rsidRPr="007F0B32" w:rsidRDefault="00E74530" w:rsidP="00E74530">
      <w:pPr>
        <w:spacing w:before="120"/>
        <w:ind w:firstLine="709"/>
        <w:jc w:val="both"/>
        <w:rPr>
          <w:bCs/>
          <w:sz w:val="28"/>
          <w:szCs w:val="28"/>
          <w:lang w:val="vi-VN"/>
        </w:rPr>
      </w:pPr>
      <w:r w:rsidRPr="007F0B32">
        <w:rPr>
          <w:bCs/>
          <w:sz w:val="28"/>
          <w:szCs w:val="28"/>
          <w:lang w:val="vi-VN"/>
        </w:rPr>
        <w:t>Mô tả quá trình tạo ra cây trồng biến đổi gen gồm mô tả sơ bộ phương pháp chuyển gen.</w:t>
      </w:r>
    </w:p>
    <w:p w:rsidR="00E74530" w:rsidRPr="007F0B32" w:rsidRDefault="00E74530" w:rsidP="00E74530">
      <w:pPr>
        <w:spacing w:before="120"/>
        <w:ind w:firstLine="709"/>
        <w:jc w:val="both"/>
        <w:rPr>
          <w:b/>
          <w:bCs/>
          <w:sz w:val="28"/>
          <w:szCs w:val="28"/>
          <w:lang w:val="vi-VN"/>
        </w:rPr>
      </w:pPr>
      <w:r w:rsidRPr="007F0B32">
        <w:rPr>
          <w:b/>
          <w:bCs/>
          <w:sz w:val="28"/>
          <w:szCs w:val="28"/>
          <w:lang w:val="vi-VN"/>
        </w:rPr>
        <w:t>IV. Thông tin về cây trồng biến đổi gen</w:t>
      </w:r>
    </w:p>
    <w:p w:rsidR="00E74530" w:rsidRPr="00C70B0B" w:rsidRDefault="00E74530" w:rsidP="00E74530">
      <w:pPr>
        <w:spacing w:before="120"/>
        <w:ind w:firstLine="709"/>
        <w:jc w:val="both"/>
        <w:rPr>
          <w:bCs/>
          <w:sz w:val="28"/>
          <w:szCs w:val="28"/>
          <w:lang w:val="vi-VN"/>
        </w:rPr>
      </w:pPr>
      <w:r w:rsidRPr="007F0B32">
        <w:rPr>
          <w:bCs/>
          <w:sz w:val="28"/>
          <w:szCs w:val="28"/>
          <w:lang w:val="vi-VN"/>
        </w:rPr>
        <w:t xml:space="preserve">1. Nêu những tính trạng và đặc điểm mới của cây trồng biến đổi gen </w:t>
      </w:r>
      <w:r>
        <w:rPr>
          <w:bCs/>
          <w:sz w:val="28"/>
          <w:szCs w:val="28"/>
          <w:lang w:val="vi-VN"/>
        </w:rPr>
        <w:t>so với sinh vật thông thường</w:t>
      </w:r>
      <w:r w:rsidRPr="00C70B0B">
        <w:rPr>
          <w:bCs/>
          <w:sz w:val="28"/>
          <w:szCs w:val="28"/>
          <w:lang w:val="vi-VN"/>
        </w:rPr>
        <w:t>.</w:t>
      </w:r>
    </w:p>
    <w:p w:rsidR="00E74530" w:rsidRPr="007F0B32" w:rsidRDefault="00E74530" w:rsidP="00E74530">
      <w:pPr>
        <w:spacing w:before="120"/>
        <w:ind w:firstLine="709"/>
        <w:jc w:val="both"/>
        <w:rPr>
          <w:bCs/>
          <w:sz w:val="28"/>
          <w:szCs w:val="28"/>
          <w:lang w:val="vi-VN"/>
        </w:rPr>
      </w:pPr>
      <w:r w:rsidRPr="007F0B32">
        <w:rPr>
          <w:bCs/>
          <w:sz w:val="28"/>
          <w:szCs w:val="28"/>
          <w:lang w:val="vi-VN"/>
        </w:rPr>
        <w:t>2. Thông tin về lịch sử cấp phép và sử dụng cây trồng biến đổi gen này trên thế giới.</w:t>
      </w:r>
    </w:p>
    <w:p w:rsidR="00E74530" w:rsidRPr="007F0B32" w:rsidRDefault="00E74530" w:rsidP="00E74530">
      <w:pPr>
        <w:spacing w:before="120"/>
        <w:ind w:firstLine="709"/>
        <w:jc w:val="both"/>
        <w:rPr>
          <w:b/>
          <w:bCs/>
          <w:sz w:val="28"/>
          <w:szCs w:val="28"/>
          <w:lang w:val="vi-VN"/>
        </w:rPr>
      </w:pPr>
      <w:r w:rsidRPr="007F0B32">
        <w:rPr>
          <w:b/>
          <w:bCs/>
          <w:sz w:val="28"/>
          <w:szCs w:val="28"/>
          <w:lang w:val="vi-VN"/>
        </w:rPr>
        <w:t>V. Thông tin về đánh giá nguy cơ ảnh hưởng của cây trồng biến đổi gen đối với môi trường và đa dạng sinh học</w:t>
      </w:r>
    </w:p>
    <w:p w:rsidR="00E74530" w:rsidRPr="007F0B32" w:rsidRDefault="00E74530" w:rsidP="00E74530">
      <w:pPr>
        <w:spacing w:before="120"/>
        <w:ind w:firstLine="709"/>
        <w:jc w:val="both"/>
        <w:rPr>
          <w:bCs/>
          <w:sz w:val="28"/>
          <w:szCs w:val="28"/>
          <w:lang w:val="vi-VN"/>
        </w:rPr>
      </w:pPr>
      <w:r w:rsidRPr="007F0B32">
        <w:rPr>
          <w:bCs/>
          <w:sz w:val="28"/>
          <w:szCs w:val="28"/>
          <w:lang w:val="vi-VN"/>
        </w:rPr>
        <w:tab/>
        <w:t>Mô tả các hoạt động đánh giá rủi ro đối với môi trường và đa dạng sinh học đã được thực hiện đối với cây trồng biến đổi gen này và kết quả của các đánh giá rủi ro đã được nêu.</w:t>
      </w:r>
    </w:p>
    <w:p w:rsidR="00E74530" w:rsidRPr="007F0B32" w:rsidRDefault="00E74530" w:rsidP="00E74530">
      <w:pPr>
        <w:spacing w:before="120"/>
        <w:ind w:firstLine="709"/>
        <w:jc w:val="both"/>
        <w:rPr>
          <w:rFonts w:ascii="Times New Roman Bold" w:hAnsi="Times New Roman Bold"/>
          <w:b/>
          <w:bCs/>
          <w:spacing w:val="-8"/>
          <w:sz w:val="28"/>
          <w:szCs w:val="28"/>
          <w:lang w:val="vi-VN"/>
        </w:rPr>
      </w:pPr>
      <w:r w:rsidRPr="007F0B32">
        <w:rPr>
          <w:b/>
          <w:bCs/>
          <w:sz w:val="28"/>
          <w:szCs w:val="28"/>
          <w:lang w:val="vi-VN"/>
        </w:rPr>
        <w:br w:type="page"/>
      </w:r>
      <w:r w:rsidRPr="007F0B32">
        <w:rPr>
          <w:rFonts w:ascii="Times New Roman Bold" w:hAnsi="Times New Roman Bold"/>
          <w:b/>
          <w:bCs/>
          <w:spacing w:val="-8"/>
          <w:sz w:val="28"/>
          <w:szCs w:val="28"/>
          <w:lang w:val="vi-VN"/>
        </w:rPr>
        <w:lastRenderedPageBreak/>
        <w:t>VI. Thông tin về rủi ro của cây trồng biến đổi gen đến sức khỏe con người</w:t>
      </w:r>
    </w:p>
    <w:p w:rsidR="00E74530" w:rsidRPr="007F0B32" w:rsidRDefault="00E74530" w:rsidP="00E74530">
      <w:pPr>
        <w:spacing w:before="120"/>
        <w:ind w:firstLine="709"/>
        <w:jc w:val="both"/>
        <w:rPr>
          <w:bCs/>
          <w:sz w:val="28"/>
          <w:szCs w:val="28"/>
          <w:lang w:val="vi-VN"/>
        </w:rPr>
      </w:pPr>
      <w:r w:rsidRPr="007F0B32">
        <w:rPr>
          <w:bCs/>
          <w:sz w:val="28"/>
          <w:szCs w:val="28"/>
          <w:lang w:val="vi-VN"/>
        </w:rPr>
        <w:tab/>
        <w:t>Thông tin các rủi ro của cây trồng biến đổi gen gây ra đối với sức khoẻ con người đã được ghi nhận.</w:t>
      </w:r>
    </w:p>
    <w:p w:rsidR="00E74530" w:rsidRPr="007F0B32" w:rsidRDefault="00E74530" w:rsidP="00E74530">
      <w:pPr>
        <w:spacing w:before="120"/>
        <w:ind w:firstLine="709"/>
        <w:jc w:val="both"/>
        <w:rPr>
          <w:b/>
          <w:bCs/>
          <w:sz w:val="28"/>
          <w:szCs w:val="28"/>
          <w:lang w:val="vi-VN"/>
        </w:rPr>
      </w:pPr>
      <w:r w:rsidRPr="007F0B32">
        <w:rPr>
          <w:b/>
          <w:bCs/>
          <w:sz w:val="28"/>
          <w:szCs w:val="28"/>
          <w:lang w:val="vi-VN"/>
        </w:rPr>
        <w:t>VII.</w:t>
      </w:r>
      <w:r w:rsidRPr="007F0B32">
        <w:rPr>
          <w:b/>
          <w:bCs/>
          <w:sz w:val="28"/>
          <w:szCs w:val="28"/>
          <w:lang w:val="pt-BR"/>
        </w:rPr>
        <w:t xml:space="preserve"> </w:t>
      </w:r>
      <w:r w:rsidRPr="007F0B32">
        <w:rPr>
          <w:b/>
          <w:bCs/>
          <w:sz w:val="28"/>
          <w:szCs w:val="28"/>
          <w:lang w:val="vi-VN"/>
        </w:rPr>
        <w:t>Thông tin về các biện pháp quản lý rủi ro được đề xuất</w:t>
      </w:r>
    </w:p>
    <w:p w:rsidR="00E74530" w:rsidRPr="00C70B0B" w:rsidRDefault="00E74530" w:rsidP="00E74530">
      <w:pPr>
        <w:spacing w:before="120"/>
        <w:ind w:firstLine="709"/>
        <w:jc w:val="both"/>
        <w:rPr>
          <w:bCs/>
          <w:sz w:val="28"/>
          <w:szCs w:val="28"/>
          <w:lang w:val="vi-VN"/>
        </w:rPr>
      </w:pPr>
      <w:r w:rsidRPr="007F0B32">
        <w:rPr>
          <w:bCs/>
          <w:sz w:val="28"/>
          <w:szCs w:val="28"/>
          <w:lang w:val="vi-VN"/>
        </w:rPr>
        <w:tab/>
        <w:t>Mô tả tóm tắt các biện pháp quản lý rủi ro (nếu có) được đề xuất</w:t>
      </w:r>
      <w:r w:rsidRPr="00C70B0B">
        <w:rPr>
          <w:bCs/>
          <w:sz w:val="28"/>
          <w:szCs w:val="28"/>
          <w:lang w:val="vi-VN"/>
        </w:rPr>
        <w:t>.</w:t>
      </w:r>
    </w:p>
    <w:p w:rsidR="00E74530" w:rsidRPr="007F0B32" w:rsidRDefault="00E74530" w:rsidP="00E74530">
      <w:pPr>
        <w:spacing w:before="120"/>
        <w:ind w:firstLine="720"/>
        <w:jc w:val="both"/>
        <w:outlineLvl w:val="2"/>
        <w:rPr>
          <w:b/>
          <w:i/>
          <w:sz w:val="28"/>
          <w:szCs w:val="28"/>
          <w:lang w:val="vi-VN"/>
        </w:rPr>
      </w:pPr>
      <w:r w:rsidRPr="007F0B32">
        <w:rPr>
          <w:b/>
          <w:i/>
          <w:sz w:val="28"/>
          <w:szCs w:val="28"/>
          <w:lang w:val="vi-VN"/>
        </w:rPr>
        <w:t>Lưu ý:</w:t>
      </w:r>
    </w:p>
    <w:p w:rsidR="00E74530" w:rsidRPr="007F0B32" w:rsidRDefault="00E74530" w:rsidP="00E74530">
      <w:pPr>
        <w:spacing w:before="120"/>
        <w:ind w:firstLine="720"/>
        <w:jc w:val="both"/>
        <w:outlineLvl w:val="2"/>
        <w:rPr>
          <w:i/>
          <w:sz w:val="28"/>
          <w:szCs w:val="28"/>
          <w:lang w:val="vi-VN"/>
        </w:rPr>
      </w:pPr>
      <w:r w:rsidRPr="007F0B32">
        <w:rPr>
          <w:i/>
          <w:sz w:val="28"/>
          <w:szCs w:val="28"/>
          <w:lang w:val="vi-VN"/>
        </w:rPr>
        <w:t>Thông tin về Báo cáo đánh giá rủi ro của cây trồng biến đổi gen đối với môi trường và đa dạng sinh học không bao gồm thông tin mật theo quy định của pháp luật hiện hành.</w:t>
      </w:r>
    </w:p>
    <w:p w:rsidR="00E74530" w:rsidRPr="007F0B32" w:rsidRDefault="00E74530" w:rsidP="00E74530">
      <w:pPr>
        <w:spacing w:before="120"/>
        <w:jc w:val="center"/>
        <w:rPr>
          <w:b/>
          <w:sz w:val="26"/>
          <w:szCs w:val="26"/>
          <w:lang w:val="vi-VN"/>
        </w:rPr>
        <w:sectPr w:rsidR="00E74530" w:rsidRPr="007F0B32" w:rsidSect="00E462A6">
          <w:headerReference w:type="even" r:id="rId4"/>
          <w:headerReference w:type="default" r:id="rId5"/>
          <w:footerReference w:type="even" r:id="rId6"/>
          <w:footerReference w:type="default" r:id="rId7"/>
          <w:headerReference w:type="first" r:id="rId8"/>
          <w:pgSz w:w="11907" w:h="16839" w:code="9"/>
          <w:pgMar w:top="1134" w:right="1134" w:bottom="1134" w:left="1701" w:header="720" w:footer="720" w:gutter="0"/>
          <w:pgNumType w:start="1"/>
          <w:cols w:space="720"/>
          <w:docGrid w:linePitch="360"/>
        </w:sectPr>
      </w:pPr>
      <w:bookmarkStart w:id="6" w:name="_Toc333396928"/>
      <w:bookmarkStart w:id="7" w:name="_Toc340493129"/>
    </w:p>
    <w:p w:rsidR="008869EE" w:rsidRDefault="00E74530" w:rsidP="00E74530">
      <w:r w:rsidRPr="007F0B32">
        <w:rPr>
          <w:b/>
          <w:sz w:val="26"/>
          <w:szCs w:val="26"/>
          <w:lang w:val="vi-VN"/>
        </w:rPr>
        <w:lastRenderedPageBreak/>
        <w:br w:type="page"/>
      </w:r>
      <w:bookmarkEnd w:id="6"/>
      <w:bookmarkEnd w:id="7"/>
    </w:p>
    <w:sectPr w:rsidR="008869EE" w:rsidSect="008869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TimeH">
    <w:altName w:val="Courier New"/>
    <w:charset w:val="00"/>
    <w:family w:val="swiss"/>
    <w:pitch w:val="variable"/>
    <w:sig w:usb0="00000001" w:usb1="00000000" w:usb2="00000000" w:usb3="00000000" w:csb0="00000013"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2A6" w:rsidRDefault="00E74530" w:rsidP="00E462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62A6" w:rsidRDefault="00E745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2A6" w:rsidRPr="00821DFA" w:rsidRDefault="00E74530" w:rsidP="00E462A6">
    <w:pPr>
      <w:pStyle w:val="Footer"/>
      <w:framePr w:wrap="around" w:vAnchor="text" w:hAnchor="margin" w:xAlign="center" w:y="1"/>
      <w:rPr>
        <w:rStyle w:val="PageNumber"/>
      </w:rPr>
    </w:pPr>
    <w:r w:rsidRPr="00821DFA">
      <w:rPr>
        <w:rStyle w:val="PageNumber"/>
      </w:rPr>
      <w:fldChar w:fldCharType="begin"/>
    </w:r>
    <w:r w:rsidRPr="00821DFA">
      <w:rPr>
        <w:rStyle w:val="PageNumber"/>
      </w:rPr>
      <w:instrText xml:space="preserve">PAGE  </w:instrText>
    </w:r>
    <w:r w:rsidRPr="00821DFA">
      <w:rPr>
        <w:rStyle w:val="PageNumber"/>
      </w:rPr>
      <w:fldChar w:fldCharType="separate"/>
    </w:r>
    <w:r>
      <w:rPr>
        <w:rStyle w:val="PageNumber"/>
        <w:noProof/>
      </w:rPr>
      <w:t>1</w:t>
    </w:r>
    <w:r w:rsidRPr="00821DFA">
      <w:rPr>
        <w:rStyle w:val="PageNumber"/>
      </w:rPr>
      <w:fldChar w:fldCharType="end"/>
    </w:r>
  </w:p>
  <w:p w:rsidR="00E462A6" w:rsidRDefault="00E74530">
    <w:pPr>
      <w:pStyle w:val="Footer"/>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2A6" w:rsidRDefault="00E745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2A6" w:rsidRDefault="00E745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2A6" w:rsidRDefault="00E7453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E74530"/>
    <w:rsid w:val="008869EE"/>
    <w:rsid w:val="00E745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5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74530"/>
    <w:pPr>
      <w:tabs>
        <w:tab w:val="center" w:pos="4320"/>
        <w:tab w:val="right" w:pos="8640"/>
      </w:tabs>
    </w:pPr>
  </w:style>
  <w:style w:type="character" w:customStyle="1" w:styleId="FooterChar">
    <w:name w:val="Footer Char"/>
    <w:basedOn w:val="DefaultParagraphFont"/>
    <w:link w:val="Footer"/>
    <w:rsid w:val="00E74530"/>
    <w:rPr>
      <w:rFonts w:ascii="Times New Roman" w:eastAsia="Times New Roman" w:hAnsi="Times New Roman" w:cs="Times New Roman"/>
      <w:sz w:val="24"/>
      <w:szCs w:val="24"/>
    </w:rPr>
  </w:style>
  <w:style w:type="character" w:styleId="PageNumber">
    <w:name w:val="page number"/>
    <w:basedOn w:val="DefaultParagraphFont"/>
    <w:rsid w:val="00E74530"/>
  </w:style>
  <w:style w:type="paragraph" w:styleId="Header">
    <w:name w:val="header"/>
    <w:basedOn w:val="Normal"/>
    <w:link w:val="HeaderChar"/>
    <w:rsid w:val="00E74530"/>
    <w:pPr>
      <w:tabs>
        <w:tab w:val="center" w:pos="4680"/>
        <w:tab w:val="right" w:pos="9360"/>
      </w:tabs>
    </w:pPr>
    <w:rPr>
      <w:rFonts w:eastAsia="MS Mincho"/>
      <w:lang w:eastAsia="ja-JP"/>
    </w:rPr>
  </w:style>
  <w:style w:type="character" w:customStyle="1" w:styleId="HeaderChar">
    <w:name w:val="Header Char"/>
    <w:basedOn w:val="DefaultParagraphFont"/>
    <w:link w:val="Header"/>
    <w:rsid w:val="00E74530"/>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header" Target="header2.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CDFA3A-0F4F-44E5-8C1E-221C77BE5091}"/>
</file>

<file path=customXml/itemProps2.xml><?xml version="1.0" encoding="utf-8"?>
<ds:datastoreItem xmlns:ds="http://schemas.openxmlformats.org/officeDocument/2006/customXml" ds:itemID="{9955C21F-68F8-4FFC-9307-4342749EFEA0}"/>
</file>

<file path=customXml/itemProps3.xml><?xml version="1.0" encoding="utf-8"?>
<ds:datastoreItem xmlns:ds="http://schemas.openxmlformats.org/officeDocument/2006/customXml" ds:itemID="{B5BDE675-47E1-40FC-BABC-4C064577DB95}"/>
</file>

<file path=docProps/app.xml><?xml version="1.0" encoding="utf-8"?>
<Properties xmlns="http://schemas.openxmlformats.org/officeDocument/2006/extended-properties" xmlns:vt="http://schemas.openxmlformats.org/officeDocument/2006/docPropsVTypes">
  <Template>Normal</Template>
  <TotalTime>0</TotalTime>
  <Pages>4</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2016-04-27T03:33:00Z</dcterms:created>
  <dcterms:modified xsi:type="dcterms:W3CDTF">2016-04-27T03:33:00Z</dcterms:modified>
</cp:coreProperties>
</file>